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BCCC2" w14:textId="77777777" w:rsidR="001C6CC5" w:rsidRDefault="00923E99">
      <w:pPr>
        <w:keepNext/>
        <w:jc w:val="left"/>
        <w:rPr>
          <w:rFonts w:ascii="Arial" w:eastAsia="Arial" w:hAnsi="Arial"/>
          <w:b/>
          <w:sz w:val="36"/>
          <w:szCs w:val="36"/>
        </w:rPr>
      </w:pPr>
      <w:bookmarkStart w:id="0" w:name="_heading=h.gjdgxs" w:colFirst="0" w:colLast="0"/>
      <w:bookmarkStart w:id="1" w:name="_GoBack"/>
      <w:bookmarkEnd w:id="0"/>
      <w:bookmarkEnd w:id="1"/>
      <w:r>
        <w:rPr>
          <w:rFonts w:ascii="Arial" w:eastAsia="Arial" w:hAnsi="Arial"/>
          <w:b/>
          <w:sz w:val="36"/>
          <w:szCs w:val="36"/>
        </w:rPr>
        <w:t>Order Schedule 16 (Benchmarking)</w:t>
      </w:r>
    </w:p>
    <w:p w14:paraId="3C8BCCC3" w14:textId="77777777" w:rsidR="001C6CC5" w:rsidRDefault="00923E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3C8BCCC4" w14:textId="77777777" w:rsidR="001C6CC5" w:rsidRDefault="00923E9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1C6CC5" w14:paraId="3C8BCCC7" w14:textId="77777777">
        <w:tc>
          <w:tcPr>
            <w:tcW w:w="2900" w:type="dxa"/>
            <w:shd w:val="clear" w:color="auto" w:fill="auto"/>
          </w:tcPr>
          <w:p w14:paraId="3C8BCCC5"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3C8BCCC6"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1C6CC5" w14:paraId="3C8BCCCA" w14:textId="77777777">
        <w:tc>
          <w:tcPr>
            <w:tcW w:w="2900" w:type="dxa"/>
            <w:shd w:val="clear" w:color="auto" w:fill="auto"/>
          </w:tcPr>
          <w:p w14:paraId="3C8BCCC8"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3C8BCCC9"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1C6CC5" w14:paraId="3C8BCCCD" w14:textId="77777777">
        <w:tc>
          <w:tcPr>
            <w:tcW w:w="2900" w:type="dxa"/>
            <w:shd w:val="clear" w:color="auto" w:fill="auto"/>
          </w:tcPr>
          <w:p w14:paraId="3C8BCCCB"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3C8BCCCC"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1C6CC5" w14:paraId="3C8BCCD0" w14:textId="77777777">
        <w:tc>
          <w:tcPr>
            <w:tcW w:w="2900" w:type="dxa"/>
            <w:shd w:val="clear" w:color="auto" w:fill="auto"/>
          </w:tcPr>
          <w:p w14:paraId="3C8BCCCE"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3C8BCCCF"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1C6CC5" w14:paraId="3C8BCCD3" w14:textId="77777777">
        <w:tc>
          <w:tcPr>
            <w:tcW w:w="2900" w:type="dxa"/>
            <w:shd w:val="clear" w:color="auto" w:fill="auto"/>
          </w:tcPr>
          <w:p w14:paraId="3C8BCCD1"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3C8BCCD2"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1C6CC5" w14:paraId="3C8BCCD6" w14:textId="77777777">
        <w:tc>
          <w:tcPr>
            <w:tcW w:w="2900" w:type="dxa"/>
            <w:shd w:val="clear" w:color="auto" w:fill="auto"/>
          </w:tcPr>
          <w:p w14:paraId="3C8BCCD4"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3C8BCCD5"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1C6CC5" w14:paraId="3C8BCCD9" w14:textId="77777777">
        <w:tc>
          <w:tcPr>
            <w:tcW w:w="2900" w:type="dxa"/>
            <w:shd w:val="clear" w:color="auto" w:fill="auto"/>
          </w:tcPr>
          <w:p w14:paraId="3C8BCCD7"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3C8BCCD8"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1C6CC5" w14:paraId="3C8BCCDC" w14:textId="77777777">
        <w:tc>
          <w:tcPr>
            <w:tcW w:w="2900" w:type="dxa"/>
            <w:shd w:val="clear" w:color="auto" w:fill="auto"/>
          </w:tcPr>
          <w:p w14:paraId="3C8BCCDA" w14:textId="77777777" w:rsidR="001C6CC5" w:rsidRDefault="00923E9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3C8BCCDB" w14:textId="77777777" w:rsidR="001C6CC5" w:rsidRDefault="00923E9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3C8BCCDD" w14:textId="77777777" w:rsidR="001C6CC5" w:rsidRDefault="00923E9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3C8BCCDE" w14:textId="77777777" w:rsidR="001C6CC5" w:rsidRDefault="00923E9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3C8BCCDF" w14:textId="77777777" w:rsidR="001C6CC5" w:rsidRDefault="00923E9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3C8BCCE0" w14:textId="77777777" w:rsidR="001C6CC5" w:rsidRDefault="00923E9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within the definition of a Cost.</w:t>
      </w:r>
    </w:p>
    <w:p w14:paraId="3C8BCCE1" w14:textId="77777777" w:rsidR="001C6CC5" w:rsidRDefault="00923E9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3C8BCCE2" w14:textId="77777777" w:rsidR="001C6CC5" w:rsidRDefault="00923E9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3C8BCCE3"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3C8BCCE4"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3C8BCCE5"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Start Date or at intervals of less than twelve (12) Months after any previous Benchmark Review. </w:t>
      </w:r>
    </w:p>
    <w:p w14:paraId="3C8BCCE6"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3C8BCCE7"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3C8BCCE8"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3C8BCCE9"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w:t>
      </w:r>
      <w:r>
        <w:rPr>
          <w:rFonts w:ascii="Arial" w:eastAsia="Arial" w:hAnsi="Arial"/>
          <w:color w:val="000000"/>
          <w:sz w:val="24"/>
          <w:szCs w:val="24"/>
        </w:rPr>
        <w:lastRenderedPageBreak/>
        <w:t>the Parties shall share the cost of the benchmarker in such proportions as the Parties agree (acting reasonably). Invoices by the benchmarker shall be raised against the Supplier and the relevant portion shall be reimbursed by the Buyer.</w:t>
      </w:r>
    </w:p>
    <w:p w14:paraId="3C8BCCEA" w14:textId="77777777" w:rsidR="001C6CC5" w:rsidRDefault="00923E9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3C8BCCEB" w14:textId="77777777" w:rsidR="001C6CC5" w:rsidRDefault="00923E99">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benchmarker shall produce and send to the Buyer, for Approval, a draft plan for the Benchmark Review which must include:</w:t>
      </w:r>
    </w:p>
    <w:p w14:paraId="3C8BCCEC"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3C8BCCED"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3C8BCCEE"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14:paraId="3C8BCCEF"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3C8BCCF0"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3C8BCCF1"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3C8BCCF2" w14:textId="77777777" w:rsidR="001C6CC5" w:rsidRDefault="00923E99">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14:paraId="3C8BCCF3"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3C8BCCF4" w14:textId="77777777" w:rsidR="001C6CC5" w:rsidRDefault="00923E99">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3C8BCCF5" w14:textId="77777777" w:rsidR="001C6CC5" w:rsidRDefault="00923E99">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benchmarker’s own data and experience;</w:t>
      </w:r>
    </w:p>
    <w:p w14:paraId="3C8BCCF6" w14:textId="77777777" w:rsidR="001C6CC5" w:rsidRDefault="00923E99">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3C8BCCF7" w14:textId="77777777" w:rsidR="001C6CC5" w:rsidRDefault="00923E99">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pursuant to Paragraph 3.2.7 below, information from other suppliers or purchasers on Comparable Rates;</w:t>
      </w:r>
    </w:p>
    <w:p w14:paraId="3C8BCCF8"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3C8BCCF9"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14:paraId="3C8BCCFA"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3C8BCCFB"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3C8BCCFC" w14:textId="77777777" w:rsidR="001C6CC5" w:rsidRDefault="00923E99">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14:paraId="3C8BCCFD"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3C8BCCFE"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3C8BCCFF"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3C8BCD00" w14:textId="77777777" w:rsidR="001C6CC5" w:rsidRDefault="00923E99">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3C8BCD01" w14:textId="77777777" w:rsidR="001C6CC5" w:rsidRDefault="00923E9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14:paraId="3C8BCD02" w14:textId="77777777" w:rsidR="001C6CC5" w:rsidRDefault="00923E99">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3C8BCD03"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3C8BCD04"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3C8BCD05" w14:textId="77777777" w:rsidR="001C6CC5" w:rsidRDefault="00923E9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3C8BCD06" w14:textId="77777777" w:rsidR="001C6CC5" w:rsidRDefault="00923E99">
      <w:pPr>
        <w:pBdr>
          <w:top w:val="nil"/>
          <w:left w:val="nil"/>
          <w:bottom w:val="nil"/>
          <w:right w:val="nil"/>
          <w:between w:val="nil"/>
        </w:pBdr>
        <w:tabs>
          <w:tab w:val="left" w:pos="1985"/>
        </w:tabs>
        <w:spacing w:before="120" w:after="120"/>
        <w:ind w:left="1985" w:hanging="720"/>
        <w:jc w:val="left"/>
        <w:rPr>
          <w:rFonts w:ascii="Arial" w:eastAsia="Arial" w:hAnsi="Arial"/>
          <w:color w:val="000000"/>
          <w:sz w:val="24"/>
          <w:szCs w:val="24"/>
        </w:r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sectPr w:rsidR="001C6CC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1AE3D" w14:textId="77777777" w:rsidR="00CF78F0" w:rsidRDefault="00CF78F0">
      <w:pPr>
        <w:spacing w:after="0"/>
      </w:pPr>
      <w:r>
        <w:separator/>
      </w:r>
    </w:p>
  </w:endnote>
  <w:endnote w:type="continuationSeparator" w:id="0">
    <w:p w14:paraId="30C66E1E" w14:textId="77777777" w:rsidR="00CF78F0" w:rsidRDefault="00CF7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CD0B" w14:textId="77777777" w:rsidR="001C6CC5" w:rsidRDefault="001C6CC5">
    <w:pPr>
      <w:tabs>
        <w:tab w:val="center" w:pos="4513"/>
        <w:tab w:val="right" w:pos="9026"/>
      </w:tabs>
      <w:spacing w:after="0"/>
      <w:rPr>
        <w:rFonts w:ascii="Arial" w:eastAsia="Arial" w:hAnsi="Arial"/>
        <w:sz w:val="20"/>
        <w:szCs w:val="20"/>
      </w:rPr>
    </w:pPr>
  </w:p>
  <w:p w14:paraId="3C8BCD0C" w14:textId="77777777" w:rsidR="001C6CC5" w:rsidRDefault="00923E99">
    <w:pPr>
      <w:tabs>
        <w:tab w:val="center" w:pos="4513"/>
        <w:tab w:val="right" w:pos="9026"/>
      </w:tabs>
      <w:spacing w:after="0"/>
      <w:rPr>
        <w:rFonts w:ascii="Arial" w:eastAsia="Arial" w:hAnsi="Arial"/>
        <w:sz w:val="20"/>
        <w:szCs w:val="20"/>
      </w:rPr>
    </w:pPr>
    <w:r>
      <w:rPr>
        <w:rFonts w:ascii="Arial" w:eastAsia="Arial" w:hAnsi="Arial"/>
        <w:sz w:val="20"/>
        <w:szCs w:val="20"/>
      </w:rPr>
      <w:t>DPS Ref: RM6219 Learning and Training</w:t>
    </w:r>
  </w:p>
  <w:p w14:paraId="3C8BCD0D" w14:textId="53C5C55B" w:rsidR="001C6CC5" w:rsidRDefault="00923E9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190E31">
      <w:rPr>
        <w:rFonts w:ascii="Arial" w:eastAsia="Arial" w:hAnsi="Arial"/>
        <w:noProof/>
        <w:color w:val="000000"/>
        <w:sz w:val="20"/>
        <w:szCs w:val="20"/>
      </w:rPr>
      <w:t>2</w:t>
    </w:r>
    <w:r>
      <w:rPr>
        <w:rFonts w:ascii="Arial" w:eastAsia="Arial" w:hAnsi="Arial"/>
        <w:color w:val="000000"/>
        <w:sz w:val="20"/>
        <w:szCs w:val="20"/>
      </w:rPr>
      <w:fldChar w:fldCharType="end"/>
    </w:r>
  </w:p>
  <w:p w14:paraId="3C8BCD0E" w14:textId="77777777" w:rsidR="001C6CC5" w:rsidRDefault="00923E99">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CD10" w14:textId="77777777" w:rsidR="001C6CC5" w:rsidRDefault="00923E99">
    <w:pPr>
      <w:tabs>
        <w:tab w:val="center" w:pos="4513"/>
        <w:tab w:val="right" w:pos="9026"/>
      </w:tabs>
      <w:spacing w:after="0"/>
      <w:rPr>
        <w:rFonts w:ascii="Arial" w:eastAsia="Arial" w:hAnsi="Arial"/>
        <w:sz w:val="20"/>
        <w:szCs w:val="20"/>
      </w:rPr>
    </w:pPr>
    <w:r>
      <w:rPr>
        <w:rFonts w:ascii="Arial" w:eastAsia="Arial" w:hAnsi="Arial"/>
        <w:sz w:val="20"/>
        <w:szCs w:val="20"/>
      </w:rPr>
      <w:t>DPS Ref: RM</w:t>
    </w:r>
    <w:r>
      <w:rPr>
        <w:rFonts w:ascii="Arial" w:eastAsia="Arial" w:hAnsi="Arial"/>
        <w:sz w:val="20"/>
        <w:szCs w:val="20"/>
      </w:rPr>
      <w:tab/>
      <w:t xml:space="preserve">                                           </w:t>
    </w:r>
  </w:p>
  <w:p w14:paraId="3C8BCD11" w14:textId="77777777" w:rsidR="001C6CC5" w:rsidRDefault="00923E9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3C8BCD12" w14:textId="77777777" w:rsidR="001C6CC5" w:rsidRDefault="00923E99">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0B0F8" w14:textId="77777777" w:rsidR="00CF78F0" w:rsidRDefault="00CF78F0">
      <w:pPr>
        <w:spacing w:after="0"/>
      </w:pPr>
      <w:r>
        <w:separator/>
      </w:r>
    </w:p>
  </w:footnote>
  <w:footnote w:type="continuationSeparator" w:id="0">
    <w:p w14:paraId="7685C651" w14:textId="77777777" w:rsidR="00CF78F0" w:rsidRDefault="00CF7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CD07" w14:textId="77777777" w:rsidR="001C6CC5" w:rsidRDefault="00923E9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Order Schedule 16 (Benchmarking)</w:t>
    </w:r>
  </w:p>
  <w:p w14:paraId="3C8BCD08" w14:textId="77777777" w:rsidR="001C6CC5" w:rsidRDefault="00923E9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3C8BCD09" w14:textId="77777777" w:rsidR="001C6CC5" w:rsidRDefault="00923E9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3C8BCD0A" w14:textId="77777777" w:rsidR="001C6CC5" w:rsidRDefault="001C6CC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BCD0F" w14:textId="77777777" w:rsidR="001C6CC5" w:rsidRDefault="00923E99">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3C8BCD13" wp14:editId="3C8BCD14">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A02"/>
    <w:multiLevelType w:val="multilevel"/>
    <w:tmpl w:val="500AE2F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A3A267E"/>
    <w:multiLevelType w:val="multilevel"/>
    <w:tmpl w:val="AEE87DB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CC5"/>
    <w:rsid w:val="00190E31"/>
    <w:rsid w:val="001C6CC5"/>
    <w:rsid w:val="00923E99"/>
    <w:rsid w:val="00CF78F0"/>
    <w:rsid w:val="00DE4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CCC2"/>
  <w15:docId w15:val="{9D06F783-79A4-49D3-B4D2-A0002B077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vuAr2+1pmHYt66qgtV5XahPAsA==">AMUW2mWWskZN6cxKDmkB7Z3onN7jxz6J1awJ7H+BXDIgpe1FR/yX8bBWUgX63S5qvxgTCShGf6BJ6VBRnz7q178MPrnC16y101e8JQdtX/ybbLdbAAW8/yr6ul1CQSnzYMCISJXpwHqfPqI9ABcjs8M3X4M8xoS6JiGPhpZyg7EdesYMsRd1qNWu6kT2ZQnmp0Rw2E34NRbB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 Johnston</dc:creator>
  <cp:lastModifiedBy>Damian Johnston</cp:lastModifiedBy>
  <cp:revision>2</cp:revision>
  <dcterms:created xsi:type="dcterms:W3CDTF">2025-10-15T15:33:00Z</dcterms:created>
  <dcterms:modified xsi:type="dcterms:W3CDTF">2025-10-15T15:33:00Z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2025-06-06T07:42:06Z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2c2f777c-290d-42f4-9112-d7b6ed69df97</vt:lpwstr>
  </property>
  <property fmtid="{D5CDD505-2E9C-101B-9397-08002B2CF9AE}" pid="9" name="MSIP_Label_bfcbf6d0-03b3-4cea-b8dd-cbea814921e4_ContentBits">
    <vt:lpwstr>0</vt:lpwstr>
  </property>
</Properties>
</file>